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2022 69 vom 14. Mai 2024</w:t>
      </w:r>
    </w:p>
    <w:p>
      <w:r>
        <w:t>GR Gerichte, 2024-05-14, DE</w:t>
      </w:r>
    </w:p>
    <w:p>
      <w:r>
        <w:rPr>
          <w:b/>
        </w:rPr>
        <w:t xml:space="preserve">Quelle: </w:t>
      </w:r>
      <w:r>
        <w:t>https://mcp.opencaselaw.ch/entscheid/gr_gerichte_R 2022 69</w:t>
      </w:r>
    </w:p>
    <w:p>
      <w:r>
        <w:t>FR: GR_GERICHTE R 2022 69 du 14 mai 2024</w:t>
      </w:r>
    </w:p>
    <w:p>
      <w:r>
        <w:t>IT: GR_GERICHTE R 2022 69 del 14 maggio 2024</w:t>
      </w:r>
    </w:p>
    <w:p>
      <w:pPr>
        <w:pStyle w:val="Heading2"/>
      </w:pPr>
      <w:r>
        <w:t>Regeste</w:t>
      </w:r>
    </w:p>
    <w:p>
      <w:r>
        <w:t>Baueinsprache | Baurecht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Zusammenfassend erweist sich der angefochtene Bau- und Einspracheentscheid vom 13. Juni 2022, mitgeteilt am 28. Juni 2022, als rechtens, womit die dagegen erhobene Beschwerde abzuweisen ist, soweit darauf eingetreten werden kann.</w:t>
      </w:r>
    </w:p>
    <w:p>
      <w:r>
        <w:t>- 43 - 8.1. Bei diesem Verfahrensausgang gehen die Gerichtskosten zulasten der unterliegenden Beschwerdeführer (Art. 73 Abs. 1 VRG). Die Staatsgebühr wird auf CHF 4'000.-- festgesetzt und ist den Beschwerdeführern je zu 1/11 sowie unter solidarischer Haftbarkeit aufzuerlegen (vgl. Art. 72 Abs. 2, Art. 73 Abs. 2 und Art. 75 Abs. 2 VRG). 8.2. Bund, Kanton und Gemeinden sowie mit öffentlich-rechtlichen Aufgaben betrauten Organisationen wird in der Regel keine Parteientschädigung zugesprochen, wenn sie in ihrem amtlichen Wirkungskreis obsiegen (Art. 78 Abs. 2 VRG). Von dieser Regel abzuweichen besteht hier kein Anlass. III.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